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5001" w:type="pct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86"/>
        <w:gridCol w:w="1028"/>
        <w:gridCol w:w="2536"/>
        <w:gridCol w:w="427"/>
        <w:gridCol w:w="285"/>
        <w:gridCol w:w="768"/>
        <w:gridCol w:w="454"/>
        <w:gridCol w:w="747"/>
        <w:gridCol w:w="237"/>
        <w:gridCol w:w="1022"/>
        <w:gridCol w:w="915"/>
        <w:gridCol w:w="664"/>
      </w:tblGrid>
      <w:tr w:rsidR="00883DE8" w:rsidRPr="00486880" w:rsidTr="00F17318">
        <w:trPr>
          <w:trHeight w:val="132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FA71C2" w:rsidRDefault="00FA71C2" w:rsidP="00A03A3C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19A55EDF" wp14:editId="7835606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26670</wp:posOffset>
                  </wp:positionV>
                  <wp:extent cx="734060" cy="567690"/>
                  <wp:effectExtent l="0" t="0" r="8890" b="3810"/>
                  <wp:wrapThrough wrapText="bothSides">
                    <wp:wrapPolygon edited="0">
                      <wp:start x="0" y="0"/>
                      <wp:lineTo x="0" y="21020"/>
                      <wp:lineTo x="21301" y="21020"/>
                      <wp:lineTo x="21301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6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1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1C2" w:rsidRPr="00FA71C2" w:rsidRDefault="00FA71C2" w:rsidP="00883DE8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Hashemite University</w:t>
            </w:r>
          </w:p>
          <w:p w:rsidR="00FA71C2" w:rsidRPr="00FA71C2" w:rsidRDefault="00FA71C2" w:rsidP="00883DE8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 of Engineering</w:t>
            </w:r>
          </w:p>
          <w:p w:rsidR="00FA71C2" w:rsidRPr="00FA71C2" w:rsidRDefault="00FA71C2" w:rsidP="00883DE8">
            <w:pPr>
              <w:ind w:left="-324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Department of Electrical Engineering</w:t>
            </w:r>
          </w:p>
          <w:p w:rsidR="00FA71C2" w:rsidRPr="00FA71C2" w:rsidRDefault="00FA71C2" w:rsidP="00084230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EE </w:t>
            </w:r>
            <w:r w:rsidR="00F17318" w:rsidRPr="00F173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110409324 </w:t>
            </w: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C94FBE">
              <w:t xml:space="preserve"> </w:t>
            </w:r>
            <w:r w:rsidR="00C94FBE" w:rsidRPr="00C94F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Electromagnetic </w:t>
            </w:r>
            <w:r w:rsidR="00C94FB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</w:t>
            </w: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(3 Credit Hours/Dept. </w:t>
            </w:r>
            <w:r w:rsidR="00E74CA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Compulsory</w:t>
            </w:r>
            <w:r w:rsidRPr="00FA71C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486880" w:rsidRPr="00486880">
              <w:rPr>
                <w:rStyle w:val="FootnoteReference"/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1C2" w:rsidRPr="00FA71C2" w:rsidRDefault="00FA71C2" w:rsidP="00883DE8">
            <w:pPr>
              <w:ind w:hanging="11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83DE8" w:rsidRPr="00486880" w:rsidTr="00F17318">
        <w:tc>
          <w:tcPr>
            <w:tcW w:w="2568" w:type="pct"/>
            <w:gridSpan w:val="4"/>
            <w:tcBorders>
              <w:top w:val="nil"/>
              <w:left w:val="nil"/>
              <w:right w:val="nil"/>
            </w:tcBorders>
          </w:tcPr>
          <w:p w:rsidR="00FA71C2" w:rsidRPr="00FA71C2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FA71C2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Instructor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FA71C2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pct"/>
            <w:gridSpan w:val="3"/>
            <w:tcBorders>
              <w:top w:val="nil"/>
              <w:left w:val="nil"/>
              <w:right w:val="nil"/>
            </w:tcBorders>
          </w:tcPr>
          <w:p w:rsidR="00FA71C2" w:rsidRPr="00FA71C2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FA71C2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Grading info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FA71C2" w:rsidRPr="00FA71C2" w:rsidRDefault="00FA71C2" w:rsidP="00883DE8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42" w:type="pct"/>
            <w:gridSpan w:val="3"/>
            <w:tcBorders>
              <w:top w:val="nil"/>
              <w:left w:val="nil"/>
              <w:right w:val="nil"/>
            </w:tcBorders>
          </w:tcPr>
          <w:p w:rsidR="00FA71C2" w:rsidRPr="00FA71C2" w:rsidRDefault="00FA71C2" w:rsidP="00883DE8">
            <w:pPr>
              <w:ind w:hanging="115"/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</w:pPr>
            <w:r w:rsidRPr="00FA71C2">
              <w:rPr>
                <w:rFonts w:asciiTheme="majorBidi" w:eastAsia="SimSun" w:hAnsiTheme="majorBidi" w:cstheme="majorBidi"/>
                <w:b/>
                <w:bCs/>
                <w:color w:val="000000" w:themeColor="text1"/>
                <w:kern w:val="3"/>
                <w:sz w:val="22"/>
                <w:szCs w:val="22"/>
              </w:rPr>
              <w:t>Class Info</w:t>
            </w:r>
          </w:p>
        </w:tc>
      </w:tr>
      <w:tr w:rsidR="00EE2427" w:rsidRPr="00486880" w:rsidTr="00F17318">
        <w:tc>
          <w:tcPr>
            <w:tcW w:w="1153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Omar A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Saraereh</w:t>
            </w:r>
            <w:proofErr w:type="spellEnd"/>
          </w:p>
        </w:tc>
        <w:tc>
          <w:tcPr>
            <w:tcW w:w="1415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36" w:type="pct"/>
            <w:tcBorders>
              <w:top w:val="nil"/>
              <w:bottom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84" w:type="pct"/>
            <w:gridSpan w:val="2"/>
          </w:tcPr>
          <w:p w:rsidR="00EE2427" w:rsidRPr="00FA71C2" w:rsidRDefault="00C6570E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Midterm</w:t>
            </w:r>
          </w:p>
        </w:tc>
        <w:tc>
          <w:tcPr>
            <w:tcW w:w="357" w:type="pct"/>
          </w:tcPr>
          <w:p w:rsidR="00EE2427" w:rsidRPr="00FA71C2" w:rsidRDefault="00C6570E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  <w:r w:rsidR="00B37C8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</w:t>
            </w:r>
            <w:r w:rsidR="00EE2427"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88" w:type="pct"/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Days </w:t>
            </w:r>
          </w:p>
        </w:tc>
        <w:tc>
          <w:tcPr>
            <w:tcW w:w="754" w:type="pct"/>
            <w:gridSpan w:val="2"/>
          </w:tcPr>
          <w:p w:rsidR="00EE2427" w:rsidRDefault="00EE2427" w:rsidP="000246DC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Sun</w:t>
            </w:r>
            <w:r w:rsidR="000246D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-to-wed</w:t>
            </w:r>
          </w:p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E2427" w:rsidRPr="00486880" w:rsidTr="00F17318">
        <w:tc>
          <w:tcPr>
            <w:tcW w:w="1153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Email:</w:t>
            </w: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415" w:type="pct"/>
            <w:gridSpan w:val="2"/>
          </w:tcPr>
          <w:p w:rsidR="00EE2427" w:rsidRPr="00FA71C2" w:rsidRDefault="00BF22EC" w:rsidP="00EE242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F22E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Eloas2@hu.edu.jo</w:t>
            </w:r>
          </w:p>
        </w:tc>
        <w:tc>
          <w:tcPr>
            <w:tcW w:w="136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left w:val="dashed" w:sz="4" w:space="0" w:color="AEAAAA" w:themeColor="background2" w:themeShade="BF"/>
            </w:tcBorders>
          </w:tcPr>
          <w:p w:rsidR="00EE2427" w:rsidRPr="00FA71C2" w:rsidRDefault="00C6570E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Quizzes</w:t>
            </w:r>
          </w:p>
        </w:tc>
        <w:tc>
          <w:tcPr>
            <w:tcW w:w="357" w:type="pct"/>
          </w:tcPr>
          <w:p w:rsidR="00EE2427" w:rsidRPr="00FA71C2" w:rsidRDefault="00C6570E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  <w:r w:rsidR="00B37C8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</w:t>
            </w:r>
            <w:r w:rsidR="00EE2427"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88" w:type="pct"/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754" w:type="pct"/>
            <w:gridSpan w:val="2"/>
          </w:tcPr>
          <w:p w:rsidR="00EE2427" w:rsidRDefault="00BD47E2" w:rsidP="000246DC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11:0</w:t>
            </w:r>
            <w:r w:rsidR="000246D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</w:t>
            </w:r>
            <w:r w:rsidR="00EE2427"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12:1</w:t>
            </w:r>
            <w:r w:rsidR="000246D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  <w:r w:rsidR="00EE2427"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="000246D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PM</w:t>
            </w:r>
          </w:p>
          <w:p w:rsidR="00EE2427" w:rsidRPr="00FA71C2" w:rsidRDefault="00BD47E2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Sec 2</w:t>
            </w:r>
            <w:bookmarkStart w:id="0" w:name="_GoBack"/>
            <w:bookmarkEnd w:id="0"/>
          </w:p>
        </w:tc>
      </w:tr>
      <w:tr w:rsidR="00EE2427" w:rsidRPr="00486880" w:rsidTr="00F17318">
        <w:tc>
          <w:tcPr>
            <w:tcW w:w="1153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Office:   </w:t>
            </w:r>
          </w:p>
        </w:tc>
        <w:tc>
          <w:tcPr>
            <w:tcW w:w="1415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Eng. 30</w:t>
            </w:r>
            <w:r w:rsidR="0047317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36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left w:val="dashed" w:sz="4" w:space="0" w:color="AEAAAA" w:themeColor="background2" w:themeShade="BF"/>
            </w:tcBorders>
          </w:tcPr>
          <w:p w:rsidR="00EE2427" w:rsidRPr="000F7D20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Final </w:t>
            </w:r>
          </w:p>
        </w:tc>
        <w:tc>
          <w:tcPr>
            <w:tcW w:w="357" w:type="pct"/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40%</w:t>
            </w: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88" w:type="pct"/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754" w:type="pct"/>
            <w:gridSpan w:val="2"/>
          </w:tcPr>
          <w:p w:rsidR="00EE2427" w:rsidRDefault="003C6F06" w:rsidP="00A03A3C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Online</w:t>
            </w:r>
          </w:p>
          <w:p w:rsidR="00EE2427" w:rsidRPr="00FA71C2" w:rsidRDefault="00EE2427" w:rsidP="00A03A3C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EE2427" w:rsidRPr="00486880" w:rsidTr="00F17318">
        <w:trPr>
          <w:gridAfter w:val="3"/>
          <w:wAfter w:w="1242" w:type="pct"/>
        </w:trPr>
        <w:tc>
          <w:tcPr>
            <w:tcW w:w="1153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415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36" w:type="pct"/>
            <w:tcBorders>
              <w:top w:val="nil"/>
              <w:bottom w:val="nil"/>
              <w:right w:val="dashed" w:sz="4" w:space="0" w:color="AEAAAA" w:themeColor="background2" w:themeShade="BF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84" w:type="pct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7" w:type="pct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EE2427" w:rsidRPr="00486880" w:rsidTr="00F17318">
        <w:tc>
          <w:tcPr>
            <w:tcW w:w="1153" w:type="pct"/>
            <w:gridSpan w:val="2"/>
          </w:tcPr>
          <w:p w:rsidR="00EE2427" w:rsidRPr="00FA71C2" w:rsidRDefault="00EE2427" w:rsidP="00EE2427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FA71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Office hours:</w:t>
            </w:r>
          </w:p>
        </w:tc>
        <w:tc>
          <w:tcPr>
            <w:tcW w:w="1415" w:type="pct"/>
            <w:gridSpan w:val="2"/>
          </w:tcPr>
          <w:p w:rsidR="00EE2427" w:rsidRPr="00FA71C2" w:rsidRDefault="000246DC" w:rsidP="003C6F06">
            <w:pP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2:00-3</w:t>
            </w:r>
            <w:r w:rsidR="00A03A3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:0</w:t>
            </w:r>
            <w:r w:rsidR="0047317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0 </w:t>
            </w:r>
            <w:r w:rsidR="00E426C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PM </w:t>
            </w:r>
            <w:r w:rsidR="0047317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</w:t>
            </w:r>
            <w:r w:rsidR="00A03A3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Daily</w:t>
            </w:r>
            <w:r w:rsidR="00EE2427" w:rsidRPr="00786C4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6" w:type="pct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584" w:type="pct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57" w:type="pct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88" w:type="pct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54" w:type="pct"/>
            <w:gridSpan w:val="2"/>
            <w:tcBorders>
              <w:left w:val="nil"/>
              <w:bottom w:val="single" w:sz="4" w:space="0" w:color="FFFFFF" w:themeColor="background1"/>
              <w:right w:val="nil"/>
            </w:tcBorders>
          </w:tcPr>
          <w:p w:rsidR="00EE2427" w:rsidRPr="00FA71C2" w:rsidRDefault="00EE2427" w:rsidP="00EE2427">
            <w:pPr>
              <w:widowContro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084230" w:rsidRPr="00486880" w:rsidTr="00F17318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4230" w:rsidRPr="00486880" w:rsidRDefault="00084230" w:rsidP="000F7D20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Course</w:t>
            </w:r>
          </w:p>
        </w:tc>
      </w:tr>
      <w:tr w:rsidR="00084230" w:rsidRPr="00486880" w:rsidTr="00F17318">
        <w:tc>
          <w:tcPr>
            <w:tcW w:w="1153" w:type="pct"/>
            <w:gridSpan w:val="2"/>
          </w:tcPr>
          <w:p w:rsidR="00084230" w:rsidRPr="00486880" w:rsidRDefault="00084230" w:rsidP="000F7D20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Number:</w:t>
            </w:r>
          </w:p>
        </w:tc>
        <w:tc>
          <w:tcPr>
            <w:tcW w:w="3847" w:type="pct"/>
            <w:gridSpan w:val="10"/>
          </w:tcPr>
          <w:p w:rsidR="00084230" w:rsidRPr="00486880" w:rsidRDefault="00D5789D" w:rsidP="000F7D20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5789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110409203</w:t>
            </w:r>
          </w:p>
        </w:tc>
      </w:tr>
      <w:tr w:rsidR="00084230" w:rsidRPr="00486880" w:rsidTr="00F17318">
        <w:tc>
          <w:tcPr>
            <w:tcW w:w="1153" w:type="pct"/>
            <w:gridSpan w:val="2"/>
          </w:tcPr>
          <w:p w:rsidR="00084230" w:rsidRPr="00486880" w:rsidRDefault="00084230" w:rsidP="000F7D20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Prerequisite:</w:t>
            </w:r>
          </w:p>
        </w:tc>
        <w:tc>
          <w:tcPr>
            <w:tcW w:w="3847" w:type="pct"/>
            <w:gridSpan w:val="10"/>
          </w:tcPr>
          <w:tbl>
            <w:tblPr>
              <w:tblW w:w="78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084230" w:rsidRPr="00084230" w:rsidTr="00084230">
              <w:trPr>
                <w:trHeight w:val="576"/>
                <w:tblCellSpacing w:w="15" w:type="dxa"/>
              </w:trPr>
              <w:tc>
                <w:tcPr>
                  <w:tcW w:w="7740" w:type="dxa"/>
                  <w:vAlign w:val="center"/>
                  <w:hideMark/>
                </w:tcPr>
                <w:p w:rsidR="00084230" w:rsidRPr="00F17318" w:rsidRDefault="0093047E" w:rsidP="00BD47E2">
                  <w:pPr>
                    <w:framePr w:hSpace="180" w:wrap="around" w:vAnchor="text" w:hAnchor="text" w:y="1"/>
                    <w:suppressOverlap/>
                    <w:rPr>
                      <w:rFonts w:ascii="Times New Roman" w:eastAsia="Arial Unicode MS" w:hAnsi="Times New Roman" w:cs="Times New Roman"/>
                      <w:color w:val="000000" w:themeColor="text1"/>
                      <w:lang w:val="en-GB" w:bidi="ar-JO"/>
                    </w:rPr>
                  </w:pPr>
                  <w:r w:rsidRPr="00F17318">
                    <w:rPr>
                      <w:rFonts w:ascii="Times New Roman" w:eastAsia="Arial Unicode MS" w:hAnsi="Times New Roman" w:cs="Times New Roman"/>
                      <w:color w:val="000000" w:themeColor="text1"/>
                      <w:lang w:val="en-GB" w:bidi="ar-JO"/>
                    </w:rPr>
                    <w:t xml:space="preserve"> Electromagnetic I </w:t>
                  </w:r>
                  <w:r w:rsidR="00084230" w:rsidRPr="00F17318">
                    <w:rPr>
                      <w:rFonts w:ascii="Times New Roman" w:eastAsia="Arial Unicode MS" w:hAnsi="Times New Roman" w:cs="Times New Roman"/>
                      <w:color w:val="000000" w:themeColor="text1"/>
                      <w:lang w:val="en-GB" w:bidi="ar-JO"/>
                    </w:rPr>
                    <w:t>(</w:t>
                  </w:r>
                  <w:r w:rsidR="008328C8" w:rsidRPr="00F17318">
                    <w:rPr>
                      <w:rFonts w:ascii="Times New Roman" w:eastAsia="Arial Unicode MS" w:hAnsi="Times New Roman" w:cs="Times New Roman"/>
                      <w:color w:val="000000" w:themeColor="text1"/>
                      <w:lang w:val="en-GB" w:bidi="ar-JO"/>
                    </w:rPr>
                    <w:t>110409221</w:t>
                  </w:r>
                  <w:r w:rsidR="00084230" w:rsidRPr="00F17318">
                    <w:rPr>
                      <w:rFonts w:ascii="Times New Roman" w:eastAsia="Arial Unicode MS" w:hAnsi="Times New Roman" w:cs="Times New Roman"/>
                      <w:color w:val="000000" w:themeColor="text1"/>
                      <w:lang w:val="en-GB" w:bidi="ar-JO"/>
                    </w:rPr>
                    <w:t xml:space="preserve">)  </w:t>
                  </w:r>
                </w:p>
              </w:tc>
            </w:tr>
          </w:tbl>
          <w:p w:rsidR="00084230" w:rsidRPr="00486880" w:rsidRDefault="00084230" w:rsidP="00F17318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084230" w:rsidRPr="00486880" w:rsidTr="00F17318">
        <w:tc>
          <w:tcPr>
            <w:tcW w:w="1153" w:type="pct"/>
            <w:gridSpan w:val="2"/>
          </w:tcPr>
          <w:p w:rsidR="00084230" w:rsidRPr="00486880" w:rsidRDefault="00084230" w:rsidP="000F7D20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Textbook:  </w:t>
            </w:r>
          </w:p>
        </w:tc>
        <w:tc>
          <w:tcPr>
            <w:tcW w:w="3847" w:type="pct"/>
            <w:gridSpan w:val="10"/>
          </w:tcPr>
          <w:p w:rsidR="003D67F4" w:rsidRPr="00486880" w:rsidRDefault="003D67F4" w:rsidP="00C94FBE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3D67F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 w:rsidRPr="003D67F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“Fundamental</w:t>
            </w:r>
            <w:r w:rsidR="006668C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3D67F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 of Applied Electromagnetics”</w:t>
            </w:r>
            <w:r w:rsidR="00C94FBE" w:rsidRPr="003D67F4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C94FBE" w:rsidRPr="003D67F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94FBE" w:rsidRPr="003D67F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Fawwaz</w:t>
            </w:r>
            <w:proofErr w:type="spellEnd"/>
            <w:r w:rsidRPr="003D67F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T. </w:t>
            </w:r>
            <w:proofErr w:type="spellStart"/>
            <w:r w:rsidRPr="003D67F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Ulaby</w:t>
            </w:r>
            <w:proofErr w:type="spellEnd"/>
            <w:r w:rsidRPr="003D67F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</w:t>
            </w:r>
            <w:r w:rsidR="00157CA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Prentice Hall, </w:t>
            </w:r>
            <w:r w:rsidR="00C94FB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</w:t>
            </w:r>
            <w:r w:rsidR="00C94FBE" w:rsidRPr="00F17318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C94FB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Edition, </w:t>
            </w:r>
            <w:r w:rsidR="00157CAB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201</w:t>
            </w:r>
            <w:r w:rsidR="00A03A3C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  <w:r w:rsidRPr="003D67F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</w:t>
            </w:r>
          </w:p>
        </w:tc>
      </w:tr>
      <w:tr w:rsidR="00084230" w:rsidRPr="00486880" w:rsidTr="00F17318">
        <w:tc>
          <w:tcPr>
            <w:tcW w:w="1153" w:type="pct"/>
            <w:gridSpan w:val="2"/>
          </w:tcPr>
          <w:p w:rsidR="00084230" w:rsidRPr="00486880" w:rsidRDefault="00084230" w:rsidP="000F7D20">
            <w:pPr>
              <w:pStyle w:val="Standard"/>
              <w:spacing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Course Description:</w:t>
            </w:r>
          </w:p>
        </w:tc>
        <w:tc>
          <w:tcPr>
            <w:tcW w:w="3847" w:type="pct"/>
            <w:gridSpan w:val="10"/>
          </w:tcPr>
          <w:p w:rsidR="003D67F4" w:rsidRPr="003D67F4" w:rsidRDefault="00F17318" w:rsidP="003D67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AU" w:eastAsia="ja-JP"/>
              </w:rPr>
            </w:pPr>
            <w:r w:rsidRPr="00F17318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lang w:val="en-GB" w:bidi="ar-JO"/>
              </w:rPr>
              <w:t xml:space="preserve">Wave propagation in </w:t>
            </w:r>
            <w:proofErr w:type="spellStart"/>
            <w:r w:rsidRPr="00F17318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lang w:val="en-GB" w:bidi="ar-JO"/>
              </w:rPr>
              <w:t>lossy</w:t>
            </w:r>
            <w:proofErr w:type="spellEnd"/>
            <w:r w:rsidRPr="00F17318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lang w:val="en-GB" w:bidi="ar-JO"/>
              </w:rPr>
              <w:t xml:space="preserve"> dielectrics, plane waves in lossless dielectrics, plane waves in free space, power and </w:t>
            </w:r>
            <w:proofErr w:type="spellStart"/>
            <w:r w:rsidRPr="00F17318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lang w:val="en-GB" w:bidi="ar-JO"/>
              </w:rPr>
              <w:t>poynting</w:t>
            </w:r>
            <w:proofErr w:type="spellEnd"/>
            <w:r w:rsidRPr="00F17318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  <w:lang w:val="en-GB" w:bidi="ar-JO"/>
              </w:rPr>
              <w:t xml:space="preserve"> vector, reflection of plane waves at normal incidence, reflection of plane waves at oblique incidence, transmission lines: parameters, equations, and applications. Smith chart. Waveguides: rectangular waveguides, TE and TM modes. Introduction to antennas.</w:t>
            </w:r>
          </w:p>
        </w:tc>
      </w:tr>
      <w:tr w:rsidR="00084230" w:rsidRPr="00486880" w:rsidTr="00F17318">
        <w:tc>
          <w:tcPr>
            <w:tcW w:w="1153" w:type="pct"/>
            <w:gridSpan w:val="2"/>
          </w:tcPr>
          <w:p w:rsidR="00084230" w:rsidRPr="00486880" w:rsidRDefault="00084230" w:rsidP="00DE4661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</w:t>
            </w:r>
            <w:r w:rsidR="00DE466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pecific Outcomes of Instruction </w:t>
            </w: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(Course Learning Outcomes):</w:t>
            </w:r>
          </w:p>
        </w:tc>
        <w:tc>
          <w:tcPr>
            <w:tcW w:w="3847" w:type="pct"/>
            <w:gridSpan w:val="10"/>
          </w:tcPr>
          <w:p w:rsidR="00F17318" w:rsidRDefault="00CD4F02" w:rsidP="00CD4F02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</w:pPr>
            <w:r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Develop an understanding of various concepts and theorems in time varying electromagnetic waves and their applications. </w:t>
            </w:r>
            <w:r w:rsidR="00F17318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(a, e)</w:t>
            </w:r>
          </w:p>
          <w:p w:rsidR="00084230" w:rsidRPr="00CD4F02" w:rsidRDefault="00F17318" w:rsidP="00CD4F02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I</w:t>
            </w:r>
            <w:r w:rsidR="00CD4F02"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nvestigate the EM wave propagation through different media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.</w:t>
            </w:r>
            <w:r w:rsidR="00CD4F02"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 </w:t>
            </w:r>
            <w:r w:rsidR="006A1089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(a, e)</w:t>
            </w:r>
          </w:p>
          <w:p w:rsidR="00CD4F02" w:rsidRPr="00CD4F02" w:rsidRDefault="00CD4F02" w:rsidP="00CD4F02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</w:pPr>
            <w:r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Understand the basics of plane wave propagation in lossless and </w:t>
            </w:r>
            <w:proofErr w:type="spellStart"/>
            <w:r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lossy</w:t>
            </w:r>
            <w:proofErr w:type="spellEnd"/>
            <w:r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 materials.</w:t>
            </w:r>
            <w:r w:rsidR="00F17318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 </w:t>
            </w:r>
            <w:r w:rsidR="006A1089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(a, e)</w:t>
            </w:r>
          </w:p>
          <w:p w:rsidR="00CD4F02" w:rsidRPr="00CD4F02" w:rsidRDefault="00CD4F02" w:rsidP="00CD4F02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</w:pPr>
            <w:r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Solve basic plane wave propagation problems: normal and oblique incidence on planar boundary.</w:t>
            </w:r>
            <w:r w:rsidR="00F17318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 </w:t>
            </w:r>
            <w:r w:rsidR="006A1089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(a, e)</w:t>
            </w:r>
          </w:p>
          <w:p w:rsidR="00CD4F02" w:rsidRDefault="00CD4F02" w:rsidP="00CD4F02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</w:pPr>
            <w:r w:rsidRPr="00CD4F02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Identify the characteristics of transmission lines and transmission line circuits.</w:t>
            </w:r>
            <w:r w:rsidR="006A1089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(a, e)</w:t>
            </w:r>
          </w:p>
          <w:p w:rsidR="000C5B6F" w:rsidRPr="000C5B6F" w:rsidRDefault="000C5B6F" w:rsidP="000C5B6F">
            <w:pPr>
              <w:pStyle w:val="ListParagraph"/>
              <w:numPr>
                <w:ilvl w:val="0"/>
                <w:numId w:val="2"/>
              </w:numPr>
              <w:tabs>
                <w:tab w:val="right" w:pos="851"/>
                <w:tab w:val="right" w:pos="1560"/>
              </w:tabs>
              <w:autoSpaceDE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</w:pPr>
            <w:r w:rsidRPr="000C5B6F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Apply the Smith chart to the analysis and design of</w:t>
            </w:r>
            <w:r w:rsidR="00F17318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 </w:t>
            </w:r>
            <w:r w:rsidRPr="000C5B6F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transmission line matching circuits.</w:t>
            </w:r>
            <w:r w:rsidR="00F17318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 xml:space="preserve"> </w:t>
            </w:r>
            <w:r w:rsidR="009A3414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2"/>
                <w:szCs w:val="22"/>
                <w:lang w:val="en-GB" w:bidi="ar-JO"/>
              </w:rPr>
              <w:t>(a, e)</w:t>
            </w:r>
          </w:p>
        </w:tc>
      </w:tr>
      <w:tr w:rsidR="00084230" w:rsidRPr="00486880" w:rsidTr="00F17318">
        <w:tc>
          <w:tcPr>
            <w:tcW w:w="1153" w:type="pct"/>
            <w:gridSpan w:val="2"/>
          </w:tcPr>
          <w:p w:rsidR="00084230" w:rsidRPr="00486880" w:rsidRDefault="00084230" w:rsidP="000F7D20">
            <w:pPr>
              <w:pStyle w:val="Standard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Important material</w:t>
            </w:r>
          </w:p>
        </w:tc>
        <w:tc>
          <w:tcPr>
            <w:tcW w:w="3847" w:type="pct"/>
            <w:gridSpan w:val="10"/>
          </w:tcPr>
          <w:p w:rsidR="00084230" w:rsidRPr="00486880" w:rsidRDefault="00084230" w:rsidP="000F7D20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Lecture notes</w:t>
            </w:r>
          </w:p>
          <w:p w:rsidR="00084230" w:rsidRPr="00A61160" w:rsidRDefault="00084230" w:rsidP="000F7D20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References</w:t>
            </w:r>
          </w:p>
        </w:tc>
      </w:tr>
      <w:tr w:rsidR="00084230" w:rsidRPr="00486880" w:rsidTr="00F17318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4230" w:rsidRPr="00486880" w:rsidRDefault="00084230" w:rsidP="000F7D20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References:</w:t>
            </w:r>
          </w:p>
        </w:tc>
      </w:tr>
      <w:tr w:rsidR="00084230" w:rsidRPr="00486880" w:rsidTr="00F17318">
        <w:tc>
          <w:tcPr>
            <w:tcW w:w="5000" w:type="pct"/>
            <w:gridSpan w:val="12"/>
          </w:tcPr>
          <w:p w:rsidR="003D67F4" w:rsidRPr="00256F2A" w:rsidRDefault="003D67F4" w:rsidP="003D67F4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Mathew N. O. </w:t>
            </w:r>
            <w:proofErr w:type="spellStart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Sadiku</w:t>
            </w:r>
            <w:proofErr w:type="spellEnd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“Elements of Electromagnetics”, Third edition, Oxford University Press 2001. </w:t>
            </w:r>
          </w:p>
          <w:p w:rsidR="003D67F4" w:rsidRPr="00256F2A" w:rsidRDefault="003D67F4" w:rsidP="00256F2A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Constantine A. </w:t>
            </w:r>
            <w:proofErr w:type="spellStart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Balanis</w:t>
            </w:r>
            <w:proofErr w:type="spellEnd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"Antenna Theory: Analysis and Design</w:t>
            </w:r>
            <w:r w:rsid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”</w:t>
            </w:r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2nd Edition, Wiley, 1996.</w:t>
            </w:r>
          </w:p>
          <w:p w:rsidR="003D67F4" w:rsidRPr="00256F2A" w:rsidRDefault="003D67F4" w:rsidP="003D67F4">
            <w:pPr>
              <w:pStyle w:val="Standard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Joseph A. E., “Theory and Problems of Electromagnetics” 2/</w:t>
            </w:r>
            <w:proofErr w:type="spellStart"/>
            <w:proofErr w:type="gramStart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ed</w:t>
            </w:r>
            <w:proofErr w:type="spellEnd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,  </w:t>
            </w:r>
            <w:proofErr w:type="spellStart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Shaum’s</w:t>
            </w:r>
            <w:proofErr w:type="spellEnd"/>
            <w:proofErr w:type="gramEnd"/>
            <w:r w:rsidRPr="00256F2A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Outline Series.</w:t>
            </w:r>
          </w:p>
          <w:p w:rsidR="00084230" w:rsidRPr="00486880" w:rsidRDefault="00084230" w:rsidP="003D67F4">
            <w:pPr>
              <w:pStyle w:val="Standard"/>
              <w:widowControl w:val="0"/>
              <w:suppressAutoHyphens w:val="0"/>
              <w:autoSpaceDN/>
              <w:spacing w:after="0" w:line="240" w:lineRule="auto"/>
              <w:ind w:left="360"/>
              <w:jc w:val="both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084230" w:rsidRPr="00486880" w:rsidTr="00F17318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4230" w:rsidRPr="00486880" w:rsidRDefault="00084230" w:rsidP="000F7D20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Major Topics Covered and Schedule in Weeks:</w:t>
            </w:r>
          </w:p>
        </w:tc>
      </w:tr>
      <w:tr w:rsidR="00084230" w:rsidRPr="00486880" w:rsidTr="00F17318">
        <w:tc>
          <w:tcPr>
            <w:tcW w:w="2364" w:type="pct"/>
            <w:gridSpan w:val="3"/>
            <w:vAlign w:val="center"/>
          </w:tcPr>
          <w:p w:rsidR="00084230" w:rsidRPr="00486880" w:rsidRDefault="00084230" w:rsidP="000F7D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707" w:type="pct"/>
            <w:gridSpan w:val="3"/>
          </w:tcPr>
          <w:p w:rsidR="00084230" w:rsidRPr="00486880" w:rsidRDefault="00084230" w:rsidP="000F7D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Weeks</w:t>
            </w:r>
          </w:p>
        </w:tc>
        <w:tc>
          <w:tcPr>
            <w:tcW w:w="1929" w:type="pct"/>
            <w:gridSpan w:val="6"/>
          </w:tcPr>
          <w:p w:rsidR="00084230" w:rsidRPr="00486880" w:rsidRDefault="00084230" w:rsidP="000F7D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# Contact hours</w:t>
            </w:r>
          </w:p>
        </w:tc>
      </w:tr>
      <w:tr w:rsidR="00084230" w:rsidRPr="00486880" w:rsidTr="00F17318">
        <w:tc>
          <w:tcPr>
            <w:tcW w:w="2364" w:type="pct"/>
            <w:gridSpan w:val="3"/>
            <w:vAlign w:val="center"/>
          </w:tcPr>
          <w:p w:rsidR="00084230" w:rsidRPr="00486880" w:rsidRDefault="001348CA" w:rsidP="003D67F4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1348C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Introduction</w:t>
            </w:r>
          </w:p>
        </w:tc>
        <w:tc>
          <w:tcPr>
            <w:tcW w:w="707" w:type="pct"/>
            <w:gridSpan w:val="3"/>
          </w:tcPr>
          <w:p w:rsidR="00084230" w:rsidRPr="00486880" w:rsidRDefault="00DD5FB8" w:rsidP="000F7D20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29" w:type="pct"/>
            <w:gridSpan w:val="6"/>
          </w:tcPr>
          <w:p w:rsidR="00084230" w:rsidRPr="00486880" w:rsidRDefault="00DD5FB8" w:rsidP="000F7D20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</w:tr>
      <w:tr w:rsidR="00084230" w:rsidRPr="00486880" w:rsidTr="00F17318">
        <w:tc>
          <w:tcPr>
            <w:tcW w:w="2364" w:type="pct"/>
            <w:gridSpan w:val="3"/>
            <w:vAlign w:val="center"/>
          </w:tcPr>
          <w:p w:rsidR="00084230" w:rsidRPr="00486880" w:rsidRDefault="001348CA" w:rsidP="00F1731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1348CA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Maxwell’s equations for time </w:t>
            </w:r>
            <w:r w:rsidR="00F1731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varying fields</w:t>
            </w:r>
          </w:p>
        </w:tc>
        <w:tc>
          <w:tcPr>
            <w:tcW w:w="707" w:type="pct"/>
            <w:gridSpan w:val="3"/>
          </w:tcPr>
          <w:p w:rsidR="00084230" w:rsidRPr="00486880" w:rsidRDefault="00DD5FB8" w:rsidP="000F7D20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29" w:type="pct"/>
            <w:gridSpan w:val="6"/>
          </w:tcPr>
          <w:p w:rsidR="00084230" w:rsidRPr="00486880" w:rsidRDefault="00DD5FB8" w:rsidP="000F7D20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w:rsidR="00084230" w:rsidRPr="00486880" w:rsidTr="00F17318">
        <w:tc>
          <w:tcPr>
            <w:tcW w:w="2364" w:type="pct"/>
            <w:gridSpan w:val="3"/>
            <w:vAlign w:val="center"/>
          </w:tcPr>
          <w:p w:rsidR="00084230" w:rsidRPr="00486880" w:rsidRDefault="00DD5FB8" w:rsidP="00F1731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Plane wave propagation </w:t>
            </w:r>
          </w:p>
        </w:tc>
        <w:tc>
          <w:tcPr>
            <w:tcW w:w="707" w:type="pct"/>
            <w:gridSpan w:val="3"/>
          </w:tcPr>
          <w:p w:rsidR="00084230" w:rsidRPr="00486880" w:rsidRDefault="00DD5FB8" w:rsidP="000F7D20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29" w:type="pct"/>
            <w:gridSpan w:val="6"/>
          </w:tcPr>
          <w:p w:rsidR="00084230" w:rsidRPr="00486880" w:rsidRDefault="00DD5FB8" w:rsidP="000F7D20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</w:tr>
      <w:tr w:rsidR="00084230" w:rsidRPr="00486880" w:rsidTr="00F17318">
        <w:tc>
          <w:tcPr>
            <w:tcW w:w="2364" w:type="pct"/>
            <w:gridSpan w:val="3"/>
            <w:vAlign w:val="center"/>
          </w:tcPr>
          <w:p w:rsidR="00084230" w:rsidRPr="003D67F4" w:rsidRDefault="00DD5FB8" w:rsidP="00F1731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W</w:t>
            </w:r>
            <w:r w:rsidR="00F1731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ave reflection and transmission</w:t>
            </w:r>
          </w:p>
        </w:tc>
        <w:tc>
          <w:tcPr>
            <w:tcW w:w="707" w:type="pct"/>
            <w:gridSpan w:val="3"/>
          </w:tcPr>
          <w:p w:rsidR="00084230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929" w:type="pct"/>
            <w:gridSpan w:val="6"/>
          </w:tcPr>
          <w:p w:rsidR="00DD5FB8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9</w:t>
            </w:r>
          </w:p>
          <w:p w:rsidR="00DD5FB8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</w:p>
          <w:p w:rsidR="00DD5FB8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5FB8" w:rsidRPr="00486880" w:rsidTr="00F17318">
        <w:tc>
          <w:tcPr>
            <w:tcW w:w="2364" w:type="pct"/>
            <w:gridSpan w:val="3"/>
            <w:vAlign w:val="center"/>
          </w:tcPr>
          <w:p w:rsidR="00DD5FB8" w:rsidRPr="00DD5FB8" w:rsidRDefault="00DD5FB8" w:rsidP="00F1731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Transmission lines </w:t>
            </w:r>
          </w:p>
        </w:tc>
        <w:tc>
          <w:tcPr>
            <w:tcW w:w="707" w:type="pct"/>
            <w:gridSpan w:val="3"/>
          </w:tcPr>
          <w:p w:rsidR="00DD5FB8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929" w:type="pct"/>
            <w:gridSpan w:val="6"/>
          </w:tcPr>
          <w:p w:rsidR="00DD5FB8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</w:tr>
      <w:tr w:rsidR="00DD5FB8" w:rsidRPr="00486880" w:rsidTr="00F17318">
        <w:tc>
          <w:tcPr>
            <w:tcW w:w="2364" w:type="pct"/>
            <w:gridSpan w:val="3"/>
            <w:vAlign w:val="center"/>
          </w:tcPr>
          <w:p w:rsidR="00DD5FB8" w:rsidRPr="00DD5FB8" w:rsidRDefault="00DD5FB8" w:rsidP="00F1731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 xml:space="preserve">Waveguides </w:t>
            </w:r>
          </w:p>
        </w:tc>
        <w:tc>
          <w:tcPr>
            <w:tcW w:w="707" w:type="pct"/>
            <w:gridSpan w:val="3"/>
          </w:tcPr>
          <w:p w:rsidR="00DD5FB8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929" w:type="pct"/>
            <w:gridSpan w:val="6"/>
          </w:tcPr>
          <w:p w:rsidR="00DD5FB8" w:rsidRPr="00DD5FB8" w:rsidRDefault="00DD5FB8" w:rsidP="00DD5FB8">
            <w:pPr>
              <w:pStyle w:val="Standard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DD5FB8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</w:tr>
      <w:tr w:rsidR="00084230" w:rsidRPr="00486880" w:rsidTr="00F17318">
        <w:tc>
          <w:tcPr>
            <w:tcW w:w="2364" w:type="pct"/>
            <w:gridSpan w:val="3"/>
            <w:vAlign w:val="center"/>
          </w:tcPr>
          <w:p w:rsidR="00084230" w:rsidRPr="00486880" w:rsidRDefault="00084230" w:rsidP="00DD5FB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</w:pPr>
            <w:r w:rsidRPr="00486880">
              <w:rPr>
                <w:rFonts w:asciiTheme="majorBidi" w:eastAsiaTheme="minorHAnsi" w:hAnsiTheme="majorBidi" w:cstheme="majorBidi"/>
                <w:color w:val="000000" w:themeColor="text1"/>
                <w:kern w:val="0"/>
                <w:sz w:val="22"/>
                <w:szCs w:val="22"/>
              </w:rPr>
              <w:t>Total</w:t>
            </w:r>
          </w:p>
        </w:tc>
        <w:tc>
          <w:tcPr>
            <w:tcW w:w="707" w:type="pct"/>
            <w:gridSpan w:val="3"/>
          </w:tcPr>
          <w:p w:rsidR="00084230" w:rsidRPr="00DD5FB8" w:rsidRDefault="00084230" w:rsidP="00DD5FB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D5FB8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29" w:type="pct"/>
            <w:gridSpan w:val="6"/>
          </w:tcPr>
          <w:p w:rsidR="00084230" w:rsidRPr="00DD5FB8" w:rsidRDefault="00084230" w:rsidP="00DD5FB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D5FB8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45</w:t>
            </w:r>
          </w:p>
        </w:tc>
      </w:tr>
      <w:tr w:rsidR="00F17318" w:rsidRPr="00486880" w:rsidTr="00F17318">
        <w:tc>
          <w:tcPr>
            <w:tcW w:w="4999" w:type="pct"/>
            <w:gridSpan w:val="12"/>
            <w:tcBorders>
              <w:left w:val="nil"/>
              <w:right w:val="nil"/>
            </w:tcBorders>
          </w:tcPr>
          <w:p w:rsidR="00F17318" w:rsidRDefault="00F17318" w:rsidP="00F1731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F17318" w:rsidRDefault="00F17318" w:rsidP="00F1731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F17318" w:rsidRDefault="00F17318" w:rsidP="00F1731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F17318" w:rsidRPr="00486880" w:rsidRDefault="00F17318" w:rsidP="00F1731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486880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Course Policy</w:t>
            </w:r>
          </w:p>
        </w:tc>
      </w:tr>
      <w:tr w:rsidR="00F17318" w:rsidRPr="00486880" w:rsidTr="00F17318">
        <w:tc>
          <w:tcPr>
            <w:tcW w:w="4999" w:type="pct"/>
            <w:gridSpan w:val="12"/>
            <w:tcBorders>
              <w:left w:val="nil"/>
              <w:right w:val="nil"/>
            </w:tcBorders>
          </w:tcPr>
          <w:p w:rsidR="00F17318" w:rsidRPr="00486880" w:rsidRDefault="00F17318" w:rsidP="00F17318">
            <w:pPr>
              <w:pStyle w:val="Standard"/>
              <w:suppressAutoHyphens w:val="0"/>
              <w:autoSpaceDN/>
              <w:spacing w:after="0" w:line="240" w:lineRule="auto"/>
              <w:ind w:hanging="115"/>
              <w:textAlignment w:val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17318" w:rsidRPr="00486880" w:rsidTr="00F17318">
        <w:tc>
          <w:tcPr>
            <w:tcW w:w="4999" w:type="pct"/>
            <w:gridSpan w:val="12"/>
          </w:tcPr>
          <w:p w:rsidR="00F17318" w:rsidRPr="005D7BBB" w:rsidRDefault="00F17318" w:rsidP="00F17318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7BB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If you miss class, there won’t be a makeup test, quiz, etc. and you WILL get a zero unless you have a valid excuse.</w:t>
            </w:r>
          </w:p>
          <w:p w:rsidR="00F17318" w:rsidRPr="005D7BBB" w:rsidRDefault="00F17318" w:rsidP="00F17318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7BBB">
              <w:rPr>
                <w:rFonts w:asciiTheme="majorBidi" w:eastAsiaTheme="minorHAnsi" w:hAnsiTheme="majorBidi" w:cstheme="majorBidi"/>
                <w:color w:val="auto"/>
                <w:sz w:val="20"/>
                <w:szCs w:val="20"/>
              </w:rPr>
              <w:t>Cheating and plagiarism are completely prohibited</w:t>
            </w:r>
            <w:r w:rsidRPr="005D7BB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.</w:t>
            </w:r>
          </w:p>
          <w:p w:rsidR="00F17318" w:rsidRPr="00486880" w:rsidRDefault="00F17318" w:rsidP="00F17318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sz w:val="22"/>
                <w:szCs w:val="22"/>
              </w:rPr>
            </w:pPr>
            <w:r w:rsidRPr="005D7BB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If you miss more than 15% of classes you will automatically fail the class.</w:t>
            </w:r>
          </w:p>
        </w:tc>
      </w:tr>
      <w:tr w:rsidR="00084230" w:rsidRPr="00486880" w:rsidTr="00F17318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084230" w:rsidRDefault="00084230" w:rsidP="00B0472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C94FBE" w:rsidRDefault="00C94FBE" w:rsidP="00B0472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C94FBE" w:rsidRPr="00486880" w:rsidRDefault="00C94FBE" w:rsidP="00B04728">
            <w:pPr>
              <w:pStyle w:val="Standard"/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84230" w:rsidRPr="00486880" w:rsidTr="00F17318">
        <w:tc>
          <w:tcPr>
            <w:tcW w:w="5000" w:type="pct"/>
            <w:gridSpan w:val="12"/>
          </w:tcPr>
          <w:p w:rsidR="00084230" w:rsidRPr="00C639CE" w:rsidRDefault="00C639CE" w:rsidP="00C639CE">
            <w:pPr>
              <w:pStyle w:val="Standard"/>
              <w:numPr>
                <w:ilvl w:val="0"/>
                <w:numId w:val="3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639C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Student Outcomes (SO) Addressed by the Course:</w:t>
            </w:r>
          </w:p>
        </w:tc>
      </w:tr>
    </w:tbl>
    <w:tbl>
      <w:tblPr>
        <w:tblW w:w="45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7142"/>
        <w:gridCol w:w="1791"/>
      </w:tblGrid>
      <w:tr w:rsidR="00C639CE" w:rsidRPr="00C639CE" w:rsidTr="00264DC5">
        <w:trPr>
          <w:trHeight w:val="320"/>
          <w:jc w:val="center"/>
        </w:trPr>
        <w:tc>
          <w:tcPr>
            <w:tcW w:w="307" w:type="pct"/>
            <w:shd w:val="pct10" w:color="auto" w:fill="auto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  <w:b/>
                <w:bCs/>
              </w:rPr>
            </w:pPr>
            <w:r w:rsidRPr="00C639CE">
              <w:rPr>
                <w:rFonts w:asciiTheme="majorBidi" w:hAnsiTheme="majorBidi" w:cstheme="majorBidi"/>
                <w:b/>
                <w:bCs/>
              </w:rPr>
              <w:t>#</w:t>
            </w:r>
          </w:p>
        </w:tc>
        <w:tc>
          <w:tcPr>
            <w:tcW w:w="3752" w:type="pct"/>
            <w:shd w:val="pct10" w:color="auto" w:fill="auto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  <w:b/>
                <w:bCs/>
              </w:rPr>
            </w:pPr>
            <w:r w:rsidRPr="00C639CE">
              <w:rPr>
                <w:rFonts w:asciiTheme="majorBidi" w:hAnsiTheme="majorBidi" w:cstheme="majorBidi"/>
                <w:b/>
                <w:bCs/>
              </w:rPr>
              <w:t>Outcome Description</w:t>
            </w:r>
          </w:p>
        </w:tc>
        <w:tc>
          <w:tcPr>
            <w:tcW w:w="941" w:type="pct"/>
            <w:shd w:val="pct10" w:color="auto" w:fill="auto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  <w:b/>
                <w:bCs/>
              </w:rPr>
            </w:pPr>
            <w:r w:rsidRPr="00C639CE">
              <w:rPr>
                <w:rFonts w:asciiTheme="majorBidi" w:hAnsiTheme="majorBidi" w:cstheme="majorBidi"/>
                <w:b/>
                <w:bCs/>
              </w:rPr>
              <w:t>Contribution</w:t>
            </w:r>
          </w:p>
        </w:tc>
      </w:tr>
      <w:tr w:rsidR="00C639CE" w:rsidRPr="00C639CE" w:rsidTr="00264DC5">
        <w:trPr>
          <w:trHeight w:val="320"/>
          <w:jc w:val="center"/>
        </w:trPr>
        <w:tc>
          <w:tcPr>
            <w:tcW w:w="5000" w:type="pct"/>
            <w:gridSpan w:val="3"/>
            <w:shd w:val="pct10" w:color="auto" w:fill="auto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  <w:b/>
                <w:bCs/>
              </w:rPr>
            </w:pPr>
            <w:r w:rsidRPr="00C639CE">
              <w:rPr>
                <w:rFonts w:asciiTheme="majorBidi" w:hAnsiTheme="majorBidi" w:cstheme="majorBidi"/>
                <w:b/>
                <w:bCs/>
              </w:rPr>
              <w:t>General Engineering Student Outcomes</w:t>
            </w:r>
          </w:p>
        </w:tc>
      </w:tr>
      <w:tr w:rsidR="00C639CE" w:rsidRPr="00C639CE" w:rsidTr="00264DC5">
        <w:trPr>
          <w:trHeight w:val="320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(a)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ability to apply knowledge of mathematics, science, and engineering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H</w:t>
            </w:r>
          </w:p>
        </w:tc>
      </w:tr>
      <w:tr w:rsidR="00C639CE" w:rsidRPr="00C639CE" w:rsidTr="00264DC5">
        <w:trPr>
          <w:trHeight w:val="311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(b)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ability to design and conduct experiments, as well as to analyze and interpret data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  <w:tr w:rsidR="00C639CE" w:rsidRPr="00C639CE" w:rsidTr="00264DC5">
        <w:trPr>
          <w:trHeight w:val="686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(c)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ability to design a system, component, or process to meet desired needs within realistic constraints such as economic, environmental, social, political, ethical, health and safety, manufacturability, and sustainability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  <w:tr w:rsidR="00C639CE" w:rsidRPr="00C639CE" w:rsidTr="00264DC5">
        <w:trPr>
          <w:trHeight w:val="320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(d)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ability to function on multidisciplinary teams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639CE" w:rsidRPr="00C639CE" w:rsidTr="00264DC5">
        <w:trPr>
          <w:trHeight w:val="320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(e)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ability to identify, formulate, and solve engineering problems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H</w:t>
            </w:r>
          </w:p>
        </w:tc>
      </w:tr>
      <w:tr w:rsidR="00C639CE" w:rsidRPr="00C639CE" w:rsidTr="00264DC5">
        <w:trPr>
          <w:trHeight w:val="311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(f)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understanding of professional and ethical responsibility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  <w:tr w:rsidR="00C639CE" w:rsidRPr="00C639CE" w:rsidTr="00264DC5">
        <w:trPr>
          <w:trHeight w:val="320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(g)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ability to communicate effectively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  <w:tr w:rsidR="00C639CE" w:rsidRPr="00C639CE" w:rsidTr="00264DC5">
        <w:trPr>
          <w:trHeight w:val="502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(h)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The broad education necessary to understand the impact of engineering solutions in a global, economic, environmental, and societal context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  <w:tr w:rsidR="00C639CE" w:rsidRPr="00C639CE" w:rsidTr="00264DC5">
        <w:trPr>
          <w:trHeight w:val="320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</w:t>
            </w:r>
            <w:proofErr w:type="spellStart"/>
            <w:r w:rsidRPr="00C639CE">
              <w:rPr>
                <w:rFonts w:asciiTheme="majorBidi" w:hAnsiTheme="majorBidi" w:cstheme="majorBidi"/>
              </w:rPr>
              <w:t>i</w:t>
            </w:r>
            <w:proofErr w:type="spellEnd"/>
            <w:r w:rsidRPr="00C639C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 recognition of the need for, and an ability to engage in life-long learning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  <w:tr w:rsidR="00C639CE" w:rsidRPr="00C639CE" w:rsidTr="00264DC5">
        <w:trPr>
          <w:trHeight w:val="320"/>
          <w:jc w:val="center"/>
        </w:trPr>
        <w:tc>
          <w:tcPr>
            <w:tcW w:w="307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(j)</w:t>
            </w:r>
          </w:p>
        </w:tc>
        <w:tc>
          <w:tcPr>
            <w:tcW w:w="3752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 knowledge of contemporary issues</w:t>
            </w:r>
          </w:p>
        </w:tc>
        <w:tc>
          <w:tcPr>
            <w:tcW w:w="941" w:type="pct"/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  <w:tr w:rsidR="00C639CE" w:rsidRPr="00C639CE" w:rsidTr="00264DC5">
        <w:trPr>
          <w:trHeight w:val="512"/>
          <w:jc w:val="center"/>
        </w:trPr>
        <w:tc>
          <w:tcPr>
            <w:tcW w:w="307" w:type="pct"/>
            <w:tcBorders>
              <w:bottom w:val="single" w:sz="4" w:space="0" w:color="000000"/>
            </w:tcBorders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(k)</w:t>
            </w:r>
          </w:p>
        </w:tc>
        <w:tc>
          <w:tcPr>
            <w:tcW w:w="3752" w:type="pct"/>
            <w:tcBorders>
              <w:bottom w:val="single" w:sz="4" w:space="0" w:color="000000"/>
            </w:tcBorders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  <w:r w:rsidRPr="00C639CE">
              <w:rPr>
                <w:rFonts w:asciiTheme="majorBidi" w:hAnsiTheme="majorBidi" w:cstheme="majorBidi"/>
              </w:rPr>
              <w:t>An ability to use the techniques, skills, and modern engineering tools necessary for engineering practice</w:t>
            </w:r>
          </w:p>
        </w:tc>
        <w:tc>
          <w:tcPr>
            <w:tcW w:w="941" w:type="pct"/>
            <w:tcBorders>
              <w:bottom w:val="single" w:sz="4" w:space="0" w:color="000000"/>
            </w:tcBorders>
            <w:vAlign w:val="center"/>
          </w:tcPr>
          <w:p w:rsidR="00C639CE" w:rsidRPr="00C639CE" w:rsidRDefault="00C639CE" w:rsidP="00C639CE">
            <w:pPr>
              <w:tabs>
                <w:tab w:val="left" w:pos="4554"/>
              </w:tabs>
              <w:rPr>
                <w:rFonts w:asciiTheme="majorBidi" w:hAnsiTheme="majorBidi" w:cstheme="majorBidi"/>
              </w:rPr>
            </w:pPr>
          </w:p>
        </w:tc>
      </w:tr>
    </w:tbl>
    <w:p w:rsidR="00C639CE" w:rsidRPr="003F5006" w:rsidRDefault="00C639CE" w:rsidP="00C63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 xml:space="preserve">            </w:t>
      </w:r>
      <w:r w:rsidRPr="003F500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3F5006">
        <w:rPr>
          <w:rFonts w:ascii="Times New Roman" w:eastAsia="Times New Roman" w:hAnsi="Times New Roman" w:cs="Times New Roman"/>
          <w:sz w:val="24"/>
          <w:szCs w:val="24"/>
        </w:rPr>
        <w:t xml:space="preserve">=High, </w:t>
      </w:r>
      <w:r w:rsidRPr="003F500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3F5006">
        <w:rPr>
          <w:rFonts w:ascii="Times New Roman" w:eastAsia="Times New Roman" w:hAnsi="Times New Roman" w:cs="Times New Roman"/>
          <w:sz w:val="24"/>
          <w:szCs w:val="24"/>
        </w:rPr>
        <w:t xml:space="preserve">= Medium, </w:t>
      </w:r>
      <w:r w:rsidRPr="003F5006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3F5006">
        <w:rPr>
          <w:rFonts w:ascii="Times New Roman" w:eastAsia="Times New Roman" w:hAnsi="Times New Roman" w:cs="Times New Roman"/>
          <w:sz w:val="24"/>
          <w:szCs w:val="24"/>
        </w:rPr>
        <w:t>=Low</w:t>
      </w:r>
    </w:p>
    <w:p w:rsidR="00DA5BB6" w:rsidRPr="00486880" w:rsidRDefault="00DA5BB6" w:rsidP="00486880">
      <w:pPr>
        <w:tabs>
          <w:tab w:val="left" w:pos="4554"/>
        </w:tabs>
        <w:rPr>
          <w:rFonts w:asciiTheme="majorBidi" w:hAnsiTheme="majorBidi" w:cstheme="majorBidi"/>
        </w:rPr>
      </w:pPr>
    </w:p>
    <w:sectPr w:rsidR="00DA5BB6" w:rsidRPr="00486880" w:rsidSect="00FA71C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E6" w:rsidRDefault="006131E6" w:rsidP="00486880">
      <w:pPr>
        <w:spacing w:after="0" w:line="240" w:lineRule="auto"/>
      </w:pPr>
      <w:r>
        <w:separator/>
      </w:r>
    </w:p>
  </w:endnote>
  <w:endnote w:type="continuationSeparator" w:id="0">
    <w:p w:rsidR="006131E6" w:rsidRDefault="006131E6" w:rsidP="0048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E6" w:rsidRDefault="006131E6" w:rsidP="00486880">
      <w:pPr>
        <w:spacing w:after="0" w:line="240" w:lineRule="auto"/>
      </w:pPr>
      <w:r>
        <w:separator/>
      </w:r>
    </w:p>
  </w:footnote>
  <w:footnote w:type="continuationSeparator" w:id="0">
    <w:p w:rsidR="006131E6" w:rsidRDefault="006131E6" w:rsidP="00486880">
      <w:pPr>
        <w:spacing w:after="0" w:line="240" w:lineRule="auto"/>
      </w:pPr>
      <w:r>
        <w:continuationSeparator/>
      </w:r>
    </w:p>
  </w:footnote>
  <w:footnote w:id="1">
    <w:p w:rsidR="00486880" w:rsidRDefault="000246DC" w:rsidP="003C6F06">
      <w:pPr>
        <w:pStyle w:val="FootnoteText"/>
      </w:pPr>
      <w:r>
        <w:t>Summer</w:t>
      </w:r>
      <w:r w:rsidR="00E426C2">
        <w:t xml:space="preserve"> </w:t>
      </w:r>
      <w:r w:rsidR="003C6F06">
        <w:t>Semester (2020-2021</w:t>
      </w:r>
      <w:r w:rsidR="00486880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53D9"/>
    <w:multiLevelType w:val="hybridMultilevel"/>
    <w:tmpl w:val="2B48DF4A"/>
    <w:lvl w:ilvl="0" w:tplc="0D76C50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5D4"/>
    <w:multiLevelType w:val="hybridMultilevel"/>
    <w:tmpl w:val="5246A022"/>
    <w:lvl w:ilvl="0" w:tplc="0D76C50A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C1256"/>
    <w:multiLevelType w:val="hybridMultilevel"/>
    <w:tmpl w:val="55C0315E"/>
    <w:lvl w:ilvl="0" w:tplc="0D76C50A">
      <w:numFmt w:val="bullet"/>
      <w:lvlText w:val="-"/>
      <w:lvlJc w:val="left"/>
      <w:pPr>
        <w:ind w:left="1080" w:hanging="360"/>
      </w:pPr>
      <w:rPr>
        <w:rFonts w:ascii="Candara" w:eastAsiaTheme="minorEastAsia" w:hAnsi="Candara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530B01"/>
    <w:multiLevelType w:val="hybridMultilevel"/>
    <w:tmpl w:val="8C92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91FD3"/>
    <w:multiLevelType w:val="hybridMultilevel"/>
    <w:tmpl w:val="91668A72"/>
    <w:lvl w:ilvl="0" w:tplc="0D76C50A">
      <w:numFmt w:val="bullet"/>
      <w:lvlText w:val="-"/>
      <w:lvlJc w:val="left"/>
      <w:pPr>
        <w:ind w:left="360" w:hanging="360"/>
      </w:pPr>
      <w:rPr>
        <w:rFonts w:ascii="Candara" w:eastAsiaTheme="minorEastAsia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A491E"/>
    <w:multiLevelType w:val="hybridMultilevel"/>
    <w:tmpl w:val="17FC69A4"/>
    <w:lvl w:ilvl="0" w:tplc="5276E4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NewRoman,Bold" w:hAnsi="TimesNewRoman,Bold" w:cs="TimesNewRoman,Bold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0C7A4C"/>
    <w:multiLevelType w:val="hybridMultilevel"/>
    <w:tmpl w:val="0C0814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B344B"/>
    <w:multiLevelType w:val="multilevel"/>
    <w:tmpl w:val="99D0434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C2"/>
    <w:rsid w:val="00017FC0"/>
    <w:rsid w:val="000246DC"/>
    <w:rsid w:val="00050E3D"/>
    <w:rsid w:val="000615C7"/>
    <w:rsid w:val="00062E69"/>
    <w:rsid w:val="00084230"/>
    <w:rsid w:val="00092584"/>
    <w:rsid w:val="000C5B6F"/>
    <w:rsid w:val="000D4F10"/>
    <w:rsid w:val="000F7D20"/>
    <w:rsid w:val="00105A9E"/>
    <w:rsid w:val="001348CA"/>
    <w:rsid w:val="00157CAB"/>
    <w:rsid w:val="00160C89"/>
    <w:rsid w:val="00196C24"/>
    <w:rsid w:val="001D1EE7"/>
    <w:rsid w:val="001F50F8"/>
    <w:rsid w:val="00256F2A"/>
    <w:rsid w:val="00261631"/>
    <w:rsid w:val="00264DC5"/>
    <w:rsid w:val="00266B48"/>
    <w:rsid w:val="00303825"/>
    <w:rsid w:val="0030433A"/>
    <w:rsid w:val="00315A92"/>
    <w:rsid w:val="003C6F06"/>
    <w:rsid w:val="003C7E47"/>
    <w:rsid w:val="003D521C"/>
    <w:rsid w:val="003D67F4"/>
    <w:rsid w:val="00424DD5"/>
    <w:rsid w:val="00473176"/>
    <w:rsid w:val="00486880"/>
    <w:rsid w:val="005111D8"/>
    <w:rsid w:val="00562774"/>
    <w:rsid w:val="005660A2"/>
    <w:rsid w:val="005D7BBB"/>
    <w:rsid w:val="006131E6"/>
    <w:rsid w:val="006668C6"/>
    <w:rsid w:val="006861C2"/>
    <w:rsid w:val="00687EE0"/>
    <w:rsid w:val="00697BFF"/>
    <w:rsid w:val="006A1089"/>
    <w:rsid w:val="006C4CFE"/>
    <w:rsid w:val="006F0041"/>
    <w:rsid w:val="006F620F"/>
    <w:rsid w:val="007238CB"/>
    <w:rsid w:val="007418CF"/>
    <w:rsid w:val="00761182"/>
    <w:rsid w:val="00786C40"/>
    <w:rsid w:val="007938AC"/>
    <w:rsid w:val="007A268A"/>
    <w:rsid w:val="007F3AEB"/>
    <w:rsid w:val="00800B3F"/>
    <w:rsid w:val="008130BF"/>
    <w:rsid w:val="00817EF1"/>
    <w:rsid w:val="008328C8"/>
    <w:rsid w:val="00840AA7"/>
    <w:rsid w:val="00855ABA"/>
    <w:rsid w:val="00883DE8"/>
    <w:rsid w:val="0093047E"/>
    <w:rsid w:val="00933E72"/>
    <w:rsid w:val="00951419"/>
    <w:rsid w:val="00953540"/>
    <w:rsid w:val="0099781A"/>
    <w:rsid w:val="009A3414"/>
    <w:rsid w:val="009F7F32"/>
    <w:rsid w:val="00A03A3C"/>
    <w:rsid w:val="00A22510"/>
    <w:rsid w:val="00A55515"/>
    <w:rsid w:val="00A61160"/>
    <w:rsid w:val="00A86766"/>
    <w:rsid w:val="00AE32BB"/>
    <w:rsid w:val="00B04728"/>
    <w:rsid w:val="00B23C2C"/>
    <w:rsid w:val="00B37C83"/>
    <w:rsid w:val="00BD47E2"/>
    <w:rsid w:val="00BF22EC"/>
    <w:rsid w:val="00C21206"/>
    <w:rsid w:val="00C639CE"/>
    <w:rsid w:val="00C6570E"/>
    <w:rsid w:val="00C74C3B"/>
    <w:rsid w:val="00C860AB"/>
    <w:rsid w:val="00C94FBE"/>
    <w:rsid w:val="00CD4F02"/>
    <w:rsid w:val="00D05420"/>
    <w:rsid w:val="00D5789D"/>
    <w:rsid w:val="00DA5BB6"/>
    <w:rsid w:val="00DC6900"/>
    <w:rsid w:val="00DD5FB8"/>
    <w:rsid w:val="00DE4020"/>
    <w:rsid w:val="00DE4661"/>
    <w:rsid w:val="00DF4720"/>
    <w:rsid w:val="00E253B9"/>
    <w:rsid w:val="00E37C43"/>
    <w:rsid w:val="00E426C2"/>
    <w:rsid w:val="00E74CAD"/>
    <w:rsid w:val="00EC3325"/>
    <w:rsid w:val="00EE2427"/>
    <w:rsid w:val="00EE24B0"/>
    <w:rsid w:val="00F17318"/>
    <w:rsid w:val="00F51383"/>
    <w:rsid w:val="00FA71C2"/>
    <w:rsid w:val="00F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3B47"/>
  <w15:docId w15:val="{FECAC91B-BCF0-49E1-A44D-1F98F023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1C2"/>
    <w:pPr>
      <w:spacing w:after="0" w:line="240" w:lineRule="auto"/>
    </w:pPr>
    <w:rPr>
      <w:color w:val="44546A" w:themeColor="text2"/>
      <w:sz w:val="14"/>
      <w:szCs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A71C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uiPriority w:val="34"/>
    <w:qFormat/>
    <w:rsid w:val="00FA71C2"/>
  </w:style>
  <w:style w:type="paragraph" w:customStyle="1" w:styleId="Heading">
    <w:name w:val="Heading"/>
    <w:basedOn w:val="Standard"/>
    <w:next w:val="Normal"/>
    <w:rsid w:val="00FA71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Normal"/>
    <w:rsid w:val="00FA71C2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8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8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B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328C8"/>
  </w:style>
  <w:style w:type="character" w:styleId="Hyperlink">
    <w:name w:val="Hyperlink"/>
    <w:basedOn w:val="DefaultParagraphFont"/>
    <w:uiPriority w:val="99"/>
    <w:unhideWhenUsed/>
    <w:rsid w:val="00BF2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C28E54E9FA34AB0503FC279C1B1E2" ma:contentTypeVersion="0" ma:contentTypeDescription="Create a new document." ma:contentTypeScope="" ma:versionID="0a8a111c6979f4a892be535851238f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A4A18-F341-431F-B875-37583DF5A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B545F-06AA-4B63-AC91-A278E9D30473}"/>
</file>

<file path=customXml/itemProps3.xml><?xml version="1.0" encoding="utf-8"?>
<ds:datastoreItem xmlns:ds="http://schemas.openxmlformats.org/officeDocument/2006/customXml" ds:itemID="{CC1EED81-0BB6-4D90-B786-59E2E5F3D459}"/>
</file>

<file path=customXml/itemProps4.xml><?xml version="1.0" encoding="utf-8"?>
<ds:datastoreItem xmlns:ds="http://schemas.openxmlformats.org/officeDocument/2006/customXml" ds:itemID="{3B3C5C50-80D7-4135-A0D9-D34ECF76A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Hashemite University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 saadeh</dc:creator>
  <cp:lastModifiedBy>PC...H</cp:lastModifiedBy>
  <cp:revision>8</cp:revision>
  <cp:lastPrinted>2016-10-18T07:01:00Z</cp:lastPrinted>
  <dcterms:created xsi:type="dcterms:W3CDTF">2020-10-09T09:49:00Z</dcterms:created>
  <dcterms:modified xsi:type="dcterms:W3CDTF">2021-07-03T08:47:00Z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0x01010058EC28E54E9FA34AB0503FC279C1B1E2</vt:lpwstr>
  </property>
</Properties>
</file>